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1744" w14:textId="7F7600FA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Fire watchers are </w:t>
      </w:r>
      <w:r w:rsidR="00C95352" w:rsidRPr="00C95352">
        <w:rPr>
          <w:rFonts w:cs="Arial"/>
          <w:b/>
          <w:bCs/>
          <w:i/>
          <w:iCs/>
          <w:sz w:val="20"/>
          <w:szCs w:val="20"/>
          <w:u w:val="single"/>
        </w:rPr>
        <w:t>required</w:t>
      </w:r>
      <w:r w:rsidR="00C95352" w:rsidRPr="00C953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whenever welding or cutting is performed in locations where a fire might develop, or any of the following conditions exist:</w:t>
      </w:r>
    </w:p>
    <w:p w14:paraId="07499487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Appreciable combustible material in building construction or contents closer than 50 feet to the point of operation.</w:t>
      </w:r>
    </w:p>
    <w:p w14:paraId="2CD3A63B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Appreciable combustibles are more than 50 feet away but are easily ignited by sparks.</w:t>
      </w:r>
    </w:p>
    <w:p w14:paraId="4E9CFF32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Wall or floor openings are within a 50-foot radius expose combustible material in adjacent areas including concealed spaces in walls or floors.</w:t>
      </w:r>
    </w:p>
    <w:p w14:paraId="77F7123A" w14:textId="68FB994A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Combustible materials are </w:t>
      </w:r>
      <w:r w:rsidR="00C95352">
        <w:rPr>
          <w:rFonts w:cs="Arial"/>
          <w:sz w:val="20"/>
          <w:szCs w:val="20"/>
        </w:rPr>
        <w:t>next to</w:t>
      </w:r>
      <w:r>
        <w:rPr>
          <w:rFonts w:cs="Arial"/>
          <w:sz w:val="20"/>
          <w:szCs w:val="20"/>
        </w:rPr>
        <w:t xml:space="preserve"> the opposite side of metal partitions, walls, ceilings, or roofs and are likely to be ignited by conduction or radiation.</w:t>
      </w:r>
    </w:p>
    <w:p w14:paraId="5C833EF1" w14:textId="77777777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Fire Watchers shall have fire-extinguishing equipment readily available and be trained in its use.</w:t>
      </w:r>
    </w:p>
    <w:p w14:paraId="321297C4" w14:textId="598FA71D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They shall be familiar with facilities for sounding an alarm </w:t>
      </w:r>
      <w:r w:rsidR="00C95352">
        <w:rPr>
          <w:rFonts w:cs="Arial"/>
          <w:sz w:val="20"/>
          <w:szCs w:val="20"/>
        </w:rPr>
        <w:t>in case of</w:t>
      </w:r>
      <w:r>
        <w:rPr>
          <w:rFonts w:cs="Arial"/>
          <w:sz w:val="20"/>
          <w:szCs w:val="20"/>
        </w:rPr>
        <w:t xml:space="preserve"> a fire.</w:t>
      </w:r>
    </w:p>
    <w:p w14:paraId="0E55097B" w14:textId="77C732F0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They shall watch for fires in all exposed areas, try to extinguish them only when obviously with in the </w:t>
      </w:r>
      <w:r w:rsidR="00C95352">
        <w:rPr>
          <w:rFonts w:cs="Arial"/>
          <w:sz w:val="20"/>
          <w:szCs w:val="20"/>
        </w:rPr>
        <w:t>role</w:t>
      </w:r>
      <w:r>
        <w:rPr>
          <w:rFonts w:cs="Arial"/>
          <w:sz w:val="20"/>
          <w:szCs w:val="20"/>
        </w:rPr>
        <w:t xml:space="preserve"> of the equipment available, or otherwise sounds the alarm.</w:t>
      </w:r>
    </w:p>
    <w:p w14:paraId="6F596DE6" w14:textId="77777777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fire watch shall be maintained for at least a half hour after completion of welding or cutting operations to detect and extinguish possible smoldering fires.</w:t>
      </w:r>
    </w:p>
    <w:p w14:paraId="54DA15ED" w14:textId="77777777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When you are assigned the task of FIREWATCH, you shall read and acknowledge that you understand the following instructions:</w:t>
      </w:r>
    </w:p>
    <w:p w14:paraId="4D880B39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When you serve as Fire watch, you have NO OTHER ASSIGNMENTS.</w:t>
      </w:r>
    </w:p>
    <w:p w14:paraId="772379A6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welder typically </w:t>
      </w:r>
      <w:r>
        <w:rPr>
          <w:rFonts w:cs="Arial"/>
          <w:sz w:val="20"/>
          <w:szCs w:val="20"/>
          <w:u w:val="single"/>
        </w:rPr>
        <w:t>cannot</w:t>
      </w:r>
      <w:r>
        <w:rPr>
          <w:rFonts w:cs="Arial"/>
          <w:sz w:val="20"/>
          <w:szCs w:val="20"/>
        </w:rPr>
        <w:t xml:space="preserve"> see a fire starting when welding because of his hood.</w:t>
      </w:r>
    </w:p>
    <w:p w14:paraId="26FEBD62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Your job is to be </w:t>
      </w:r>
      <w:r>
        <w:rPr>
          <w:rFonts w:cs="Arial"/>
          <w:sz w:val="20"/>
          <w:szCs w:val="20"/>
          <w:u w:val="single"/>
        </w:rPr>
        <w:t>continuously</w:t>
      </w:r>
      <w:r>
        <w:rPr>
          <w:rFonts w:cs="Arial"/>
          <w:sz w:val="20"/>
          <w:szCs w:val="20"/>
        </w:rPr>
        <w:t xml:space="preserve"> watching the area where hot work might cause a fire to start. YOU MUST WATCH THE WORK AREA; YOU MUST</w:t>
      </w:r>
      <w:r>
        <w:rPr>
          <w:rFonts w:cs="Arial"/>
          <w:sz w:val="20"/>
          <w:szCs w:val="20"/>
          <w:u w:val="single"/>
        </w:rPr>
        <w:t xml:space="preserve"> NOT</w:t>
      </w:r>
      <w:r>
        <w:rPr>
          <w:rFonts w:cs="Arial"/>
          <w:sz w:val="20"/>
          <w:szCs w:val="20"/>
        </w:rPr>
        <w:t xml:space="preserve"> BE LOOKING OFF SOMEWHERE ELSE.</w:t>
      </w:r>
    </w:p>
    <w:p w14:paraId="15B4179F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to continuously remain at the location where the hot work is taking place. If you have to leave, hot work must stop. </w:t>
      </w:r>
    </w:p>
    <w:p w14:paraId="38FAD906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to obtain an extinguisher that has been inspected within last 12 months and position the extinguisher where it can be easily accessible for use if a fire develops. DO </w:t>
      </w:r>
      <w:r>
        <w:rPr>
          <w:rFonts w:cs="Arial"/>
          <w:sz w:val="20"/>
          <w:szCs w:val="20"/>
          <w:u w:val="single"/>
        </w:rPr>
        <w:t>NOT</w:t>
      </w:r>
      <w:r>
        <w:rPr>
          <w:rFonts w:cs="Arial"/>
          <w:sz w:val="20"/>
          <w:szCs w:val="20"/>
        </w:rPr>
        <w:t xml:space="preserve"> PULL THE PIN OR CHARGE UP THE EXTINGUISHER unless it becomes necessary to use the extinguisher.</w:t>
      </w:r>
    </w:p>
    <w:p w14:paraId="0A647FBE" w14:textId="70813872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performing an </w:t>
      </w:r>
      <w:r>
        <w:rPr>
          <w:rFonts w:cs="Arial"/>
          <w:sz w:val="20"/>
          <w:szCs w:val="20"/>
          <w:u w:val="single"/>
        </w:rPr>
        <w:t>important</w:t>
      </w:r>
      <w:r>
        <w:rPr>
          <w:rFonts w:cs="Arial"/>
          <w:sz w:val="20"/>
          <w:szCs w:val="20"/>
        </w:rPr>
        <w:t xml:space="preserve"> job in preventing fires</w:t>
      </w:r>
      <w:r w:rsidR="00852C3B">
        <w:rPr>
          <w:rFonts w:cs="Arial"/>
          <w:sz w:val="20"/>
          <w:szCs w:val="20"/>
        </w:rPr>
        <w:t>.</w:t>
      </w:r>
    </w:p>
    <w:p w14:paraId="4C855737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Never</w:t>
      </w:r>
      <w:r>
        <w:rPr>
          <w:rFonts w:cs="Arial"/>
          <w:sz w:val="20"/>
          <w:szCs w:val="20"/>
        </w:rPr>
        <w:t xml:space="preserve"> look directly at the welder’s arc. If welding is taking place on a foggy day or at night, green tinted safety glasses should be worn.</w:t>
      </w:r>
    </w:p>
    <w:p w14:paraId="326FC5DA" w14:textId="19C9DF1E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to stay at the site for 30 minutes after the job is completed. (Unless </w:t>
      </w:r>
      <w:r w:rsidR="00852C3B">
        <w:rPr>
          <w:rFonts w:cs="Arial"/>
          <w:sz w:val="20"/>
          <w:szCs w:val="20"/>
        </w:rPr>
        <w:t>you are relieved by SUIT Risk Management Office.</w:t>
      </w:r>
      <w:r>
        <w:rPr>
          <w:rFonts w:cs="Arial"/>
          <w:sz w:val="20"/>
          <w:szCs w:val="20"/>
        </w:rPr>
        <w:t>)</w:t>
      </w:r>
    </w:p>
    <w:p w14:paraId="0506131E" w14:textId="2AE83F2E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Return the </w:t>
      </w:r>
      <w:r w:rsidR="00C95352">
        <w:rPr>
          <w:rFonts w:cs="Arial"/>
          <w:sz w:val="20"/>
          <w:szCs w:val="20"/>
        </w:rPr>
        <w:t>firefighting</w:t>
      </w:r>
      <w:r>
        <w:rPr>
          <w:rFonts w:cs="Arial"/>
          <w:sz w:val="20"/>
          <w:szCs w:val="20"/>
        </w:rPr>
        <w:t xml:space="preserve"> equipment to the proper location upon completion of the hot work.</w:t>
      </w:r>
    </w:p>
    <w:p w14:paraId="55180DFC" w14:textId="07F9EE4E" w:rsidR="005F1707" w:rsidRDefault="005F1707" w:rsidP="005F1707">
      <w:pPr>
        <w:numPr>
          <w:ilvl w:val="1"/>
          <w:numId w:val="2"/>
        </w:numPr>
        <w:tabs>
          <w:tab w:val="left" w:pos="720"/>
          <w:tab w:val="num" w:pos="1170"/>
          <w:tab w:val="left" w:pos="1260"/>
        </w:tabs>
        <w:overflowPunct/>
        <w:autoSpaceDE/>
        <w:adjustRightInd/>
        <w:ind w:left="1080" w:hanging="720"/>
        <w:jc w:val="both"/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</w:rPr>
        <w:t xml:space="preserve">For all PF Campus locations: You shall be given a provided a radio, </w:t>
      </w:r>
      <w:r w:rsidR="00C95352">
        <w:rPr>
          <w:rFonts w:cs="Arial"/>
          <w:sz w:val="20"/>
          <w:szCs w:val="20"/>
        </w:rPr>
        <w:t>in case of</w:t>
      </w:r>
      <w:r>
        <w:rPr>
          <w:rFonts w:cs="Arial"/>
          <w:sz w:val="20"/>
          <w:szCs w:val="20"/>
        </w:rPr>
        <w:t xml:space="preserve"> an uncontrolled fire or the fire is beyond the capacity of the equipment available to you, you shall notify the PF’s SUPD/Dispatch immediately to begin the emergency action plan. </w:t>
      </w:r>
      <w:r>
        <w:rPr>
          <w:rFonts w:cs="Arial"/>
          <w:sz w:val="20"/>
          <w:szCs w:val="20"/>
          <w:highlight w:val="yellow"/>
        </w:rPr>
        <w:t xml:space="preserve">In the event you cannot contact the control room, or immediate danger is present, you are authorized to shut down the </w:t>
      </w:r>
      <w:r w:rsidR="00C95352">
        <w:rPr>
          <w:rFonts w:cs="Arial"/>
          <w:sz w:val="20"/>
          <w:szCs w:val="20"/>
          <w:highlight w:val="yellow"/>
        </w:rPr>
        <w:t xml:space="preserve">immediate area </w:t>
      </w:r>
      <w:r>
        <w:rPr>
          <w:rFonts w:cs="Arial"/>
          <w:sz w:val="20"/>
          <w:szCs w:val="20"/>
          <w:highlight w:val="yellow"/>
        </w:rPr>
        <w:t>and evacuate the facility via the nearest exit and assemble at the Muster Area.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133"/>
        <w:gridCol w:w="981"/>
        <w:gridCol w:w="486"/>
        <w:gridCol w:w="857"/>
        <w:gridCol w:w="2554"/>
      </w:tblGrid>
      <w:tr w:rsidR="005F1707" w14:paraId="454D79DE" w14:textId="77777777" w:rsidTr="00C95352">
        <w:tc>
          <w:tcPr>
            <w:tcW w:w="9576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6DD5D35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certify that I have received firefighting and hand-held extinguisher training within the last year, and I understand and will follow the above instructions.</w:t>
            </w:r>
          </w:p>
        </w:tc>
      </w:tr>
      <w:tr w:rsidR="005F1707" w14:paraId="4370360B" w14:textId="77777777" w:rsidTr="00C95352">
        <w:tc>
          <w:tcPr>
            <w:tcW w:w="2565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491BA8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Print Name (Fire Watch):</w:t>
            </w:r>
          </w:p>
        </w:tc>
        <w:tc>
          <w:tcPr>
            <w:tcW w:w="3114" w:type="dxa"/>
            <w:gridSpan w:val="2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C5FC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43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D63919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Company:</w:t>
            </w:r>
          </w:p>
        </w:tc>
        <w:tc>
          <w:tcPr>
            <w:tcW w:w="2554" w:type="dxa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2A596B25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1707" w14:paraId="337A6370" w14:textId="77777777" w:rsidTr="00C95352">
        <w:tc>
          <w:tcPr>
            <w:tcW w:w="25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D62866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Signature (Fire Watch):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BA2E" w14:textId="77777777" w:rsidR="005F1707" w:rsidRDefault="005F1707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6B4A7C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Date: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5C152D5E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1707" w14:paraId="7D95A7EB" w14:textId="77777777" w:rsidTr="00C95352">
        <w:trPr>
          <w:cantSplit/>
        </w:trPr>
        <w:tc>
          <w:tcPr>
            <w:tcW w:w="9576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794595ED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acknowledge the responsibilities of the Fire Watch during the hot work operation.</w:t>
            </w:r>
          </w:p>
        </w:tc>
      </w:tr>
      <w:tr w:rsidR="005F1707" w14:paraId="527017D9" w14:textId="77777777" w:rsidTr="00852C3B">
        <w:trPr>
          <w:cantSplit/>
        </w:trPr>
        <w:tc>
          <w:tcPr>
            <w:tcW w:w="25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E844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Print Name (Craftsman):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6952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48ED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Signature (Craftsman):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420199A5" w14:textId="77777777" w:rsidR="005F1707" w:rsidRDefault="005F1707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720" w:hanging="73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52C3B" w14:paraId="5780C959" w14:textId="77777777" w:rsidTr="00852C3B">
        <w:trPr>
          <w:cantSplit/>
        </w:trPr>
        <w:tc>
          <w:tcPr>
            <w:tcW w:w="2565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bottom"/>
          </w:tcPr>
          <w:p w14:paraId="16D203CE" w14:textId="77777777" w:rsidR="00852C3B" w:rsidRDefault="00852C3B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7BC8A84" w14:textId="4BB719AD" w:rsidR="00852C3B" w:rsidRDefault="00852C3B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Contact Information: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nil"/>
            </w:tcBorders>
            <w:vAlign w:val="bottom"/>
          </w:tcPr>
          <w:p w14:paraId="371AB316" w14:textId="77777777" w:rsidR="00852C3B" w:rsidRDefault="00852C3B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double" w:sz="12" w:space="0" w:color="auto"/>
              <w:right w:val="nil"/>
            </w:tcBorders>
            <w:vAlign w:val="bottom"/>
          </w:tcPr>
          <w:p w14:paraId="16551143" w14:textId="5267DE6A" w:rsidR="00852C3B" w:rsidRDefault="00852C3B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bottom"/>
          </w:tcPr>
          <w:p w14:paraId="5883E8A4" w14:textId="77777777" w:rsidR="00852C3B" w:rsidRDefault="00852C3B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720" w:hanging="73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21E49" w14:textId="77777777" w:rsidR="00111992" w:rsidRDefault="00111992"/>
    <w:sectPr w:rsidR="00111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4C5E" w14:textId="77777777" w:rsidR="005F1707" w:rsidRDefault="005F1707" w:rsidP="005F1707">
      <w:pPr>
        <w:spacing w:after="0"/>
      </w:pPr>
      <w:r>
        <w:separator/>
      </w:r>
    </w:p>
  </w:endnote>
  <w:endnote w:type="continuationSeparator" w:id="0">
    <w:p w14:paraId="022B23A8" w14:textId="77777777" w:rsidR="005F1707" w:rsidRDefault="005F1707" w:rsidP="005F1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6DC" w14:textId="77777777" w:rsidR="00F744AD" w:rsidRDefault="00F74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D63" w14:textId="12B5B9F7" w:rsidR="00F744AD" w:rsidRPr="00F744AD" w:rsidRDefault="00F744AD">
    <w:pPr>
      <w:pStyle w:val="Footer"/>
      <w:rPr>
        <w:sz w:val="20"/>
        <w:szCs w:val="20"/>
      </w:rPr>
    </w:pPr>
    <w:r w:rsidRPr="00F744AD">
      <w:rPr>
        <w:sz w:val="20"/>
        <w:szCs w:val="20"/>
      </w:rPr>
      <w:t>June 2023</w:t>
    </w:r>
  </w:p>
  <w:p w14:paraId="7BB91B09" w14:textId="77777777" w:rsidR="00F744AD" w:rsidRPr="00F744AD" w:rsidRDefault="00F744A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A056" w14:textId="77777777" w:rsidR="00F744AD" w:rsidRDefault="00F74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E20C" w14:textId="77777777" w:rsidR="005F1707" w:rsidRDefault="005F1707" w:rsidP="005F1707">
      <w:pPr>
        <w:spacing w:after="0"/>
      </w:pPr>
      <w:r>
        <w:separator/>
      </w:r>
    </w:p>
  </w:footnote>
  <w:footnote w:type="continuationSeparator" w:id="0">
    <w:p w14:paraId="257808A4" w14:textId="77777777" w:rsidR="005F1707" w:rsidRDefault="005F1707" w:rsidP="005F17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08A2" w14:textId="77777777" w:rsidR="00F744AD" w:rsidRDefault="00F74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B40" w14:textId="2A6B1ED1" w:rsidR="005F1707" w:rsidRDefault="005F170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B9333D" wp14:editId="3295AB39">
              <wp:simplePos x="0" y="0"/>
              <wp:positionH relativeFrom="margin">
                <wp:align>center</wp:align>
              </wp:positionH>
              <wp:positionV relativeFrom="page">
                <wp:posOffset>457200</wp:posOffset>
              </wp:positionV>
              <wp:extent cx="5949950" cy="51816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18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CBF141" w14:textId="4981DCBD" w:rsidR="005F1707" w:rsidRPr="00C95352" w:rsidRDefault="00322345" w:rsidP="005F170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b/>
                              <w:bCs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noProof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1707" w:rsidRPr="005F1707">
                                <w:rPr>
                                  <w:noProof/>
                                </w:rPr>
                                <w:drawing>
                                  <wp:inline distT="0" distB="0" distL="0" distR="0" wp14:anchorId="2140B19A" wp14:editId="71CB789C">
                                    <wp:extent cx="434340" cy="395605"/>
                                    <wp:effectExtent l="0" t="0" r="3810" b="444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4690" cy="3959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  <w:r w:rsidR="00C95352">
                            <w:rPr>
                              <w:noProof/>
                            </w:rPr>
                            <w:t xml:space="preserve">          </w:t>
                          </w:r>
                          <w:r w:rsidR="00C95352" w:rsidRPr="00C95352">
                            <w:rPr>
                              <w:b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SOUTHERN UTE PERMNA</w:t>
                          </w:r>
                          <w:r w:rsidR="00C95352">
                            <w:rPr>
                              <w:b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MENT</w:t>
                          </w:r>
                          <w:r w:rsidR="00C95352" w:rsidRPr="00C95352">
                            <w:rPr>
                              <w:b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 xml:space="preserve"> FUND FIRE WATCH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9333D" id="Rectangle 197" o:spid="_x0000_s1026" style="position:absolute;margin-left:0;margin-top:36pt;width:468.5pt;height:40.8pt;z-index:-251657216;visibility:visible;mso-wrap-style:square;mso-width-percent:100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" o:allowoverlap="f" fillcolor="#d9e2f3 [660]" stroked="f" strokeweight="1pt">
              <v:textbox>
                <w:txbxContent>
                  <w:p w14:paraId="05CBF141" w14:textId="4981DCBD" w:rsidR="005F1707" w:rsidRPr="00C95352" w:rsidRDefault="00322345" w:rsidP="005F170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b/>
                        <w:bCs/>
                        <w:caps/>
                        <w:color w:val="000000" w:themeColor="text1"/>
                        <w:sz w:val="28"/>
                        <w:szCs w:val="28"/>
                      </w:rPr>
                    </w:pPr>
                    <w:sdt>
                      <w:sdtPr>
                        <w:rPr>
                          <w:noProof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1707" w:rsidRPr="005F1707">
                          <w:rPr>
                            <w:noProof/>
                          </w:rPr>
                          <w:drawing>
                            <wp:inline distT="0" distB="0" distL="0" distR="0" wp14:anchorId="2140B19A" wp14:editId="71CB789C">
                              <wp:extent cx="434340" cy="395605"/>
                              <wp:effectExtent l="0" t="0" r="3810" b="444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4690" cy="3959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  <w:r w:rsidR="00C95352">
                      <w:rPr>
                        <w:noProof/>
                      </w:rPr>
                      <w:t xml:space="preserve">          </w:t>
                    </w:r>
                    <w:r w:rsidR="00C95352" w:rsidRPr="00C95352">
                      <w:rPr>
                        <w:b/>
                        <w:bCs/>
                        <w:noProof/>
                        <w:color w:val="000000" w:themeColor="text1"/>
                        <w:sz w:val="28"/>
                        <w:szCs w:val="28"/>
                      </w:rPr>
                      <w:t>SOUTHERN UTE PERMNA</w:t>
                    </w:r>
                    <w:r w:rsidR="00C95352">
                      <w:rPr>
                        <w:b/>
                        <w:bCs/>
                        <w:noProof/>
                        <w:color w:val="000000" w:themeColor="text1"/>
                        <w:sz w:val="28"/>
                        <w:szCs w:val="28"/>
                      </w:rPr>
                      <w:t>MENT</w:t>
                    </w:r>
                    <w:r w:rsidR="00C95352" w:rsidRPr="00C95352">
                      <w:rPr>
                        <w:b/>
                        <w:bCs/>
                        <w:noProof/>
                        <w:color w:val="000000" w:themeColor="text1"/>
                        <w:sz w:val="28"/>
                        <w:szCs w:val="28"/>
                      </w:rPr>
                      <w:t xml:space="preserve"> FUND FIRE WATCH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0AB6" w14:textId="77777777" w:rsidR="00F744AD" w:rsidRDefault="00F74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885"/>
    <w:multiLevelType w:val="multilevel"/>
    <w:tmpl w:val="060AF2C0"/>
    <w:lvl w:ilvl="0">
      <w:start w:val="1"/>
      <w:numFmt w:val="decimal"/>
      <w:pStyle w:val="Heading1"/>
      <w:lvlText w:val="%1"/>
      <w:lvlJc w:val="left"/>
      <w:pPr>
        <w:tabs>
          <w:tab w:val="num" w:pos="900"/>
        </w:tabs>
        <w:ind w:left="90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1368" w:hanging="136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2160" w:hanging="216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3672" w:hanging="2952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4464" w:hanging="3744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62366FDE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850922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37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07"/>
    <w:rsid w:val="00110038"/>
    <w:rsid w:val="00111992"/>
    <w:rsid w:val="00322345"/>
    <w:rsid w:val="00363CF0"/>
    <w:rsid w:val="00460327"/>
    <w:rsid w:val="005F1707"/>
    <w:rsid w:val="00852C3B"/>
    <w:rsid w:val="009D7F83"/>
    <w:rsid w:val="00C95352"/>
    <w:rsid w:val="00D72341"/>
    <w:rsid w:val="00F7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8CB3E"/>
  <w15:chartTrackingRefBased/>
  <w15:docId w15:val="{FA559F64-0A16-41CF-8857-8744C68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07"/>
    <w:pPr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1707"/>
    <w:pPr>
      <w:keepNext/>
      <w:numPr>
        <w:numId w:val="1"/>
      </w:numPr>
      <w:spacing w:before="240" w:after="60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1707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170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170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707"/>
    <w:rPr>
      <w:rFonts w:ascii="Arial" w:eastAsia="Times New Roman" w:hAnsi="Arial" w:cs="Times New Roman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F1707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F1707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5F170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17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170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7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170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Warren</dc:creator>
  <cp:keywords/>
  <dc:description/>
  <cp:lastModifiedBy>Ehlers, Trevor</cp:lastModifiedBy>
  <cp:revision>1</cp:revision>
  <dcterms:created xsi:type="dcterms:W3CDTF">2023-09-27T16:12:00Z</dcterms:created>
  <dcterms:modified xsi:type="dcterms:W3CDTF">2025-10-17T21:00:00Z</dcterms:modified>
</cp:coreProperties>
</file>